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528" w:rsidRPr="00933528" w:rsidRDefault="00933528" w:rsidP="00933528">
      <w:pPr>
        <w:spacing w:after="150" w:line="336" w:lineRule="atLeast"/>
        <w:jc w:val="both"/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</w:pPr>
      <w:r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L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e dodici vaccinazioni elencate devono essere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 xml:space="preserve">tutte </w:t>
      </w:r>
      <w:r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o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bbligatoriamente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 somministrate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ai nati dal 2017.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 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br/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Ai nati dal 2001 al 2016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 devono essere somministrate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le vaccinazioni contenute nel Calendario Vaccinale Nazionale relativo a ciascun anno di nascita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. Precisamente:</w:t>
      </w:r>
    </w:p>
    <w:p w:rsidR="00933528" w:rsidRPr="00933528" w:rsidRDefault="00933528" w:rsidP="00933528">
      <w:pPr>
        <w:numPr>
          <w:ilvl w:val="0"/>
          <w:numId w:val="1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proofErr w:type="gramStart"/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i</w:t>
      </w:r>
      <w:proofErr w:type="gramEnd"/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 xml:space="preserve"> nati dal 2001 al 2004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, devono effettuare (ove non abbiano già provveduto) le quattro vaccinazioni già imposte per legge (anti-epatite B; anti-tetano; anti-poliomielite; anti-difterite) e l’anti-morbillo, l’anti-parotite, l’anti-rosolia, l’anti-pertosse e l’anti-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Haemophilus</w:t>
      </w:r>
      <w:proofErr w:type="spellEnd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 xml:space="preserve"> 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influenzae</w:t>
      </w:r>
      <w:proofErr w:type="spellEnd"/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tipo b, raccomandate dal </w:t>
      </w:r>
      <w:hyperlink r:id="rId5" w:tooltip="apre file pdf" w:history="1">
        <w:r w:rsidRPr="00933528">
          <w:rPr>
            <w:rFonts w:ascii="Trebuchet MS" w:eastAsia="Times New Roman" w:hAnsi="Trebuchet MS" w:cs="Times New Roman"/>
            <w:b/>
            <w:bCs/>
            <w:color w:val="9F0013"/>
            <w:sz w:val="19"/>
            <w:szCs w:val="19"/>
            <w:lang w:eastAsia="it-IT"/>
          </w:rPr>
          <w:t>Piano Nazionale Vaccini 1999-2000</w:t>
        </w:r>
      </w:hyperlink>
    </w:p>
    <w:p w:rsidR="00933528" w:rsidRPr="00933528" w:rsidRDefault="00933528" w:rsidP="00933528">
      <w:pPr>
        <w:numPr>
          <w:ilvl w:val="0"/>
          <w:numId w:val="1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proofErr w:type="gramStart"/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i</w:t>
      </w:r>
      <w:proofErr w:type="gramEnd"/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 xml:space="preserve"> nati dal 2005 al 2011,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devono effettuare, oltre alle quattro vaccinazioni già imposte per legge, anche l’anti-morbillo, l’anti-parotite, l’anti-rosolia, l’antipertosse e l’anti-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Haemophilus</w:t>
      </w:r>
      <w:proofErr w:type="spellEnd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 xml:space="preserve"> 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influenzae</w:t>
      </w:r>
      <w:proofErr w:type="spellEnd"/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tipo b, previsti dal Calendario vaccinale incluso nel </w:t>
      </w:r>
      <w:hyperlink r:id="rId6" w:tooltip="apre file pdf" w:history="1">
        <w:r w:rsidRPr="00933528">
          <w:rPr>
            <w:rFonts w:ascii="Trebuchet MS" w:eastAsia="Times New Roman" w:hAnsi="Trebuchet MS" w:cs="Times New Roman"/>
            <w:b/>
            <w:bCs/>
            <w:color w:val="9F0013"/>
            <w:sz w:val="19"/>
            <w:szCs w:val="19"/>
            <w:lang w:eastAsia="it-IT"/>
          </w:rPr>
          <w:t>Piano Nazionale Vaccini 2005-2007</w:t>
        </w:r>
      </w:hyperlink>
    </w:p>
    <w:p w:rsidR="00933528" w:rsidRPr="00933528" w:rsidRDefault="00933528" w:rsidP="00933528">
      <w:pPr>
        <w:numPr>
          <w:ilvl w:val="0"/>
          <w:numId w:val="1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proofErr w:type="gramStart"/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i</w:t>
      </w:r>
      <w:proofErr w:type="gramEnd"/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 xml:space="preserve"> nati dal 2012 al 2016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devono effettuare, oltre alle quattro vaccinazioni già imposte per legge, anche l’anti-morbillo, l’anti-parotite, l’anti-rosolia, l’anti-pertosse, l’anti-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Haemophilus</w:t>
      </w:r>
      <w:proofErr w:type="spellEnd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 xml:space="preserve"> 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influenzae</w:t>
      </w:r>
      <w:proofErr w:type="spellEnd"/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tipo b e l’anti-meningococcica C, previste dal Calendario vaccinale incluso nel </w:t>
      </w:r>
      <w:hyperlink r:id="rId7" w:tooltip="apre file pdf" w:history="1">
        <w:r w:rsidRPr="00933528">
          <w:rPr>
            <w:rFonts w:ascii="Trebuchet MS" w:eastAsia="Times New Roman" w:hAnsi="Trebuchet MS" w:cs="Times New Roman"/>
            <w:b/>
            <w:bCs/>
            <w:color w:val="9F0013"/>
            <w:sz w:val="19"/>
            <w:szCs w:val="19"/>
            <w:lang w:eastAsia="it-IT"/>
          </w:rPr>
          <w:t>Piano Nazionale Prevenzione Vaccinale 2012-2014</w:t>
        </w:r>
      </w:hyperlink>
    </w:p>
    <w:p w:rsidR="00933528" w:rsidRPr="00933528" w:rsidRDefault="00933528" w:rsidP="00933528">
      <w:pPr>
        <w:numPr>
          <w:ilvl w:val="0"/>
          <w:numId w:val="1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i nati dal 2017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, devono effettuare, oltre alle quattro vaccinazioni già imposte per legge, anche l’anti-morbillo, l’anti-parotite, l’anti-rosolia, l’anti-pertosse, l’anti-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Haemophilus</w:t>
      </w:r>
      <w:proofErr w:type="spellEnd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 xml:space="preserve"> </w:t>
      </w:r>
      <w:proofErr w:type="spellStart"/>
      <w:r w:rsidRPr="00933528">
        <w:rPr>
          <w:rFonts w:ascii="Trebuchet MS" w:eastAsia="Times New Roman" w:hAnsi="Trebuchet MS" w:cs="Times New Roman"/>
          <w:i/>
          <w:iCs/>
          <w:color w:val="2A2A25"/>
          <w:sz w:val="19"/>
          <w:szCs w:val="19"/>
          <w:lang w:eastAsia="it-IT"/>
        </w:rPr>
        <w:t>influenzae</w:t>
      </w:r>
      <w:proofErr w:type="spellEnd"/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tipo b, l’anti-meningococcica C, l’antimeningococcica B e l’anti-varicella, previste dal Calendario vaccinale incluso nel nuovo </w:t>
      </w:r>
      <w:hyperlink r:id="rId8" w:tooltip="apre file pdf in nuova finestra trovanorme" w:history="1">
        <w:r w:rsidRPr="00933528">
          <w:rPr>
            <w:rFonts w:ascii="Trebuchet MS" w:eastAsia="Times New Roman" w:hAnsi="Trebuchet MS" w:cs="Times New Roman"/>
            <w:b/>
            <w:bCs/>
            <w:color w:val="9F0013"/>
            <w:sz w:val="19"/>
            <w:szCs w:val="19"/>
            <w:lang w:eastAsia="it-IT"/>
          </w:rPr>
          <w:t>Piano Nazionale Prevenzione Vaccinale 2017-2019</w:t>
        </w:r>
      </w:hyperlink>
    </w:p>
    <w:p w:rsidR="00933528" w:rsidRPr="00933528" w:rsidRDefault="00933528" w:rsidP="00933528">
      <w:pPr>
        <w:spacing w:after="150" w:line="336" w:lineRule="atLeast"/>
        <w:jc w:val="both"/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</w:pP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Sono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esonerati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 dall’obbligo di vaccinazione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:</w:t>
      </w:r>
    </w:p>
    <w:p w:rsidR="00933528" w:rsidRPr="00933528" w:rsidRDefault="00933528" w:rsidP="00933528">
      <w:pPr>
        <w:numPr>
          <w:ilvl w:val="0"/>
          <w:numId w:val="2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i soggetti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immunizzati per effetto della malattia naturale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. Ad esempio i bambini che hanno già contratto la varicella non dovranno vaccinarsi contro tale malattia</w:t>
      </w:r>
    </w:p>
    <w:p w:rsidR="00933528" w:rsidRPr="00933528" w:rsidRDefault="00933528" w:rsidP="00933528">
      <w:pPr>
        <w:numPr>
          <w:ilvl w:val="0"/>
          <w:numId w:val="2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i soggetti che si trovano in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specifiche condizioni cliniche documentate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, attestate dal medico di medicina generale o dal pediatra di libera scelta. Ad esempio per i soggetti che abbiano avuto pregresse gravi reazioni allergiche al vaccino o ad uno dei suoi componenti</w:t>
      </w:r>
    </w:p>
    <w:p w:rsidR="00933528" w:rsidRPr="00933528" w:rsidRDefault="00933528" w:rsidP="00933528">
      <w:pPr>
        <w:spacing w:after="150" w:line="336" w:lineRule="atLeast"/>
        <w:jc w:val="both"/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</w:pP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Per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l’anno scolastico 2017-2018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, sono dettate specifiche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29"/>
          <w:szCs w:val="29"/>
          <w:lang w:eastAsia="it-IT"/>
        </w:rPr>
        <w:t>disposizioni transitorie per la fase di prima applicazione del decreto</w:t>
      </w:r>
      <w:r w:rsidRPr="00933528">
        <w:rPr>
          <w:rFonts w:ascii="Trebuchet MS" w:eastAsia="Times New Roman" w:hAnsi="Trebuchet MS" w:cs="Times New Roman"/>
          <w:color w:val="2A2A25"/>
          <w:sz w:val="29"/>
          <w:szCs w:val="29"/>
          <w:lang w:eastAsia="it-IT"/>
        </w:rPr>
        <w:t>.</w:t>
      </w:r>
    </w:p>
    <w:p w:rsidR="00933528" w:rsidRPr="00933528" w:rsidRDefault="00933528" w:rsidP="00933528">
      <w:pPr>
        <w:numPr>
          <w:ilvl w:val="0"/>
          <w:numId w:val="3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Entro il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10 settembre 2017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, per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l’avvenuta vaccinazione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: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può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essere presentata la relativa documentazione oppure un’autocertificazione; per l’omissione, il differimento e l’immunizzazione da malattia: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deve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essere presentata la relativa documentazione; coloro che sono in attesa di effettuare la vaccinazione: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devono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presentare copia della prenotazione dell’appuntamento presso l’ASL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.</w:t>
      </w:r>
    </w:p>
    <w:p w:rsidR="00933528" w:rsidRPr="00933528" w:rsidRDefault="00933528" w:rsidP="00933528">
      <w:pPr>
        <w:numPr>
          <w:ilvl w:val="0"/>
          <w:numId w:val="3"/>
        </w:numPr>
        <w:spacing w:after="0" w:line="336" w:lineRule="atLeast"/>
        <w:ind w:left="480"/>
        <w:jc w:val="both"/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</w:pP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Entro il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10 marzo 2018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, nel caso in cui sia stata precedentemente presentata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l’autocertificazione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, </w:t>
      </w:r>
      <w:r w:rsidRPr="00933528">
        <w:rPr>
          <w:rFonts w:ascii="Trebuchet MS" w:eastAsia="Times New Roman" w:hAnsi="Trebuchet MS" w:cs="Times New Roman"/>
          <w:b/>
          <w:bCs/>
          <w:color w:val="2A2A25"/>
          <w:sz w:val="19"/>
          <w:szCs w:val="19"/>
          <w:lang w:eastAsia="it-IT"/>
        </w:rPr>
        <w:t>deve</w:t>
      </w:r>
      <w:r w:rsidRPr="00933528">
        <w:rPr>
          <w:rFonts w:ascii="Trebuchet MS" w:eastAsia="Times New Roman" w:hAnsi="Trebuchet MS" w:cs="Times New Roman"/>
          <w:color w:val="2A2A25"/>
          <w:sz w:val="19"/>
          <w:szCs w:val="19"/>
          <w:lang w:eastAsia="it-IT"/>
        </w:rPr>
        <w:t> essere presentata la documentazione comprovante l’avvenuta vaccinazione</w:t>
      </w:r>
    </w:p>
    <w:p w:rsidR="009727E4" w:rsidRDefault="009727E4" w:rsidP="00933528">
      <w:pPr>
        <w:jc w:val="both"/>
      </w:pPr>
    </w:p>
    <w:p w:rsidR="00541FE7" w:rsidRDefault="00541FE7" w:rsidP="00933528">
      <w:pPr>
        <w:jc w:val="both"/>
      </w:pPr>
    </w:p>
    <w:p w:rsidR="00541FE7" w:rsidRDefault="00541FE7" w:rsidP="00933528">
      <w:pPr>
        <w:jc w:val="both"/>
      </w:pPr>
    </w:p>
    <w:p w:rsidR="00541FE7" w:rsidRDefault="00541FE7" w:rsidP="00933528">
      <w:pPr>
        <w:jc w:val="both"/>
      </w:pPr>
    </w:p>
    <w:p w:rsidR="00541FE7" w:rsidRDefault="00541FE7" w:rsidP="00933528">
      <w:pPr>
        <w:jc w:val="both"/>
      </w:pPr>
    </w:p>
    <w:p w:rsidR="00541FE7" w:rsidRDefault="00541FE7" w:rsidP="00933528">
      <w:pPr>
        <w:jc w:val="both"/>
      </w:pPr>
    </w:p>
    <w:p w:rsidR="00541FE7" w:rsidRPr="00541FE7" w:rsidRDefault="00541FE7" w:rsidP="00541FE7">
      <w:pPr>
        <w:shd w:val="clear" w:color="auto" w:fill="FFFFFF"/>
        <w:spacing w:before="188" w:after="188" w:line="240" w:lineRule="auto"/>
        <w:outlineLvl w:val="3"/>
        <w:rPr>
          <w:rFonts w:ascii="Helvetica" w:eastAsia="Times New Roman" w:hAnsi="Helvetica" w:cs="Helvetica"/>
          <w:b/>
          <w:bCs/>
          <w:color w:val="1C2024"/>
          <w:sz w:val="24"/>
          <w:szCs w:val="24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4"/>
          <w:szCs w:val="24"/>
          <w:lang w:eastAsia="it-IT"/>
        </w:rPr>
        <w:t>Bambini da zero a 6 anni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Anti-difterica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ciclo di base 3 dosi nel primo anno di vita e richiamo a 6 anni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Anti-poliomielite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ciclo di base 3 dosi nel primo anno di vita e richiamo a 6 anni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Anti-tetanica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ciclo di base 3 dosi nel primo anno di vita e richiamo a 6 anni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Anti-epatite virale B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3 dosi nel primo anno di vita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Anti-pertosse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ciclo di base 3 dosi nel primo anno di vita e richiamo a 6 anni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</w:t>
      </w:r>
      <w:proofErr w:type="spellStart"/>
      <w:r w:rsidRPr="00541FE7">
        <w:rPr>
          <w:rFonts w:ascii="Helvetica" w:eastAsia="Times New Roman" w:hAnsi="Helvetica" w:cs="Helvetica"/>
          <w:b/>
          <w:bCs/>
          <w:i/>
          <w:iCs/>
          <w:color w:val="1C2024"/>
          <w:sz w:val="27"/>
          <w:szCs w:val="27"/>
          <w:lang w:eastAsia="it-IT"/>
        </w:rPr>
        <w:t>Haemophilus</w:t>
      </w:r>
      <w:proofErr w:type="spellEnd"/>
      <w:r w:rsidRPr="00541FE7">
        <w:rPr>
          <w:rFonts w:ascii="Helvetica" w:eastAsia="Times New Roman" w:hAnsi="Helvetica" w:cs="Helvetica"/>
          <w:b/>
          <w:bCs/>
          <w:i/>
          <w:iCs/>
          <w:color w:val="1C2024"/>
          <w:sz w:val="27"/>
          <w:szCs w:val="27"/>
          <w:lang w:eastAsia="it-IT"/>
        </w:rPr>
        <w:t xml:space="preserve"> </w:t>
      </w:r>
      <w:proofErr w:type="spellStart"/>
      <w:r w:rsidRPr="00541FE7">
        <w:rPr>
          <w:rFonts w:ascii="Helvetica" w:eastAsia="Times New Roman" w:hAnsi="Helvetica" w:cs="Helvetica"/>
          <w:b/>
          <w:bCs/>
          <w:i/>
          <w:iCs/>
          <w:color w:val="1C2024"/>
          <w:sz w:val="27"/>
          <w:szCs w:val="27"/>
          <w:lang w:eastAsia="it-IT"/>
        </w:rPr>
        <w:t>influenzae</w:t>
      </w:r>
      <w:proofErr w:type="spellEnd"/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 tipo b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3 dosi nel primo anno di vita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Anti-meningococcica B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3 o 4 dosi nel primo anno di vita, a seconda del mese di somministrazione della prima dose (fortemente raccomandata per i nati a partire dal 2017)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</w:t>
      </w:r>
      <w:proofErr w:type="spellStart"/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rotavirus</w:t>
      </w:r>
      <w:proofErr w:type="spellEnd"/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2 o 3 dosi nel primo anno di vita, a seconda del tipo di vaccino (fortemente raccomandata per i nati a partire dal 2017)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Anti-pneumococcica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3 dosi nel primo anno di vita (fortemente raccomandata per i nati a partire dal 2012)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Anti-meningococcica C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1° dose nel secondo anno di vita (fortemente raccomandata per i nati a partire dal 2012)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Anti-varicella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1° dose nel secondo anno di vita e 2° dose a 6 anni (obbligatoria per i nati dal 2017)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Anti-morbillo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1° dose nel secondo anno di vita e 2° dose a 6 anni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Anti-parotite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1° dose nel secondo anno di vita e 2° dose a 6 anni (obbligatoria per i nati dal 2001)</w:t>
      </w:r>
    </w:p>
    <w:p w:rsidR="00541FE7" w:rsidRPr="00541FE7" w:rsidRDefault="00541FE7" w:rsidP="00541FE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</w:pPr>
      <w:r w:rsidRPr="00541FE7">
        <w:rPr>
          <w:rFonts w:ascii="Helvetica" w:eastAsia="Times New Roman" w:hAnsi="Helvetica" w:cs="Helvetica"/>
          <w:b/>
          <w:bCs/>
          <w:color w:val="1C2024"/>
          <w:sz w:val="27"/>
          <w:szCs w:val="27"/>
          <w:lang w:eastAsia="it-IT"/>
        </w:rPr>
        <w:t>Anti-rosolia</w:t>
      </w:r>
      <w:r w:rsidRPr="00541FE7">
        <w:rPr>
          <w:rFonts w:ascii="Helvetica" w:eastAsia="Times New Roman" w:hAnsi="Helvetica" w:cs="Helvetica"/>
          <w:color w:val="1C2024"/>
          <w:sz w:val="27"/>
          <w:szCs w:val="27"/>
          <w:lang w:eastAsia="it-IT"/>
        </w:rPr>
        <w:t>: 1° dose nel secondo anno di vita e 2° dose a 6 anni (obbligatoria per i nati dal 2001)</w:t>
      </w:r>
    </w:p>
    <w:p w:rsidR="00541FE7" w:rsidRDefault="00541FE7" w:rsidP="00933528">
      <w:pPr>
        <w:jc w:val="both"/>
      </w:pPr>
      <w:bookmarkStart w:id="0" w:name="_GoBack"/>
      <w:bookmarkEnd w:id="0"/>
    </w:p>
    <w:sectPr w:rsidR="00541F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024"/>
    <w:multiLevelType w:val="multilevel"/>
    <w:tmpl w:val="032A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F52266"/>
    <w:multiLevelType w:val="multilevel"/>
    <w:tmpl w:val="9E5C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0947C9"/>
    <w:multiLevelType w:val="multilevel"/>
    <w:tmpl w:val="7074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8126CF"/>
    <w:multiLevelType w:val="multilevel"/>
    <w:tmpl w:val="33AA7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528"/>
    <w:rsid w:val="00541FE7"/>
    <w:rsid w:val="00933528"/>
    <w:rsid w:val="0097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415BF-2925-44F8-8FD0-538A9A6B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541F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528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41FE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41FE7"/>
    <w:rPr>
      <w:b/>
      <w:bCs/>
    </w:rPr>
  </w:style>
  <w:style w:type="character" w:styleId="Enfasicorsivo">
    <w:name w:val="Emphasis"/>
    <w:basedOn w:val="Carpredefinitoparagrafo"/>
    <w:uiPriority w:val="20"/>
    <w:qFormat/>
    <w:rsid w:val="00541F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ovanorme.salute.gov.it/norme/renderPdf.spring?seriegu=SG&amp;datagu=18/02/2017&amp;redaz=17A01195&amp;artp=1&amp;art=1&amp;subart=1&amp;subart1=10&amp;vers=1&amp;prog=0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lute.gov.it/imgs/C_17_pubblicazioni_1721_allegat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lute.gov.it/imgs/C_17_pubblicazioni_543_allegato.pdf" TargetMode="External"/><Relationship Id="rId5" Type="http://schemas.openxmlformats.org/officeDocument/2006/relationships/hyperlink" Target="http://www.salute.gov.it/imgs/C_17_pubblicazioni_77_allegato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cp:lastPrinted>2017-09-15T08:11:00Z</cp:lastPrinted>
  <dcterms:created xsi:type="dcterms:W3CDTF">2017-09-15T08:10:00Z</dcterms:created>
  <dcterms:modified xsi:type="dcterms:W3CDTF">2017-09-15T08:24:00Z</dcterms:modified>
</cp:coreProperties>
</file>